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C708" w14:textId="7D332D64" w:rsidR="00EF7430" w:rsidRPr="009733EB" w:rsidRDefault="007A78A0" w:rsidP="009733EB">
      <w:pPr>
        <w:spacing w:after="0" w:line="276" w:lineRule="auto"/>
        <w:rPr>
          <w:rFonts w:ascii="Arial" w:hAnsi="Arial" w:cs="Arial"/>
          <w:sz w:val="36"/>
          <w:szCs w:val="36"/>
        </w:rPr>
      </w:pPr>
      <w:r>
        <w:rPr>
          <w:rFonts w:ascii="Arial" w:hAnsi="Arial" w:cs="Arial"/>
          <w:b/>
          <w:bCs/>
          <w:sz w:val="36"/>
          <w:szCs w:val="36"/>
        </w:rPr>
        <w:t xml:space="preserve">Follow-up </w:t>
      </w:r>
      <w:r w:rsidR="00EF7430" w:rsidRPr="009733EB">
        <w:rPr>
          <w:rFonts w:ascii="Arial" w:hAnsi="Arial" w:cs="Arial"/>
          <w:b/>
          <w:bCs/>
          <w:sz w:val="36"/>
          <w:szCs w:val="36"/>
        </w:rPr>
        <w:t>Joint Statement on Prevention</w:t>
      </w:r>
      <w:r w:rsidR="00EF7430" w:rsidRPr="009733EB">
        <w:rPr>
          <w:rFonts w:ascii="Arial" w:hAnsi="Arial" w:cs="Arial"/>
          <w:sz w:val="36"/>
          <w:szCs w:val="36"/>
        </w:rPr>
        <w:t> </w:t>
      </w:r>
    </w:p>
    <w:p w14:paraId="55E58A55" w14:textId="7EFAE60A" w:rsidR="009733EB" w:rsidRDefault="007A78A0" w:rsidP="009733EB">
      <w:pPr>
        <w:spacing w:after="0" w:line="276" w:lineRule="auto"/>
        <w:rPr>
          <w:rFonts w:ascii="Arial" w:hAnsi="Arial" w:cs="Arial"/>
          <w:sz w:val="32"/>
          <w:szCs w:val="32"/>
        </w:rPr>
      </w:pPr>
      <w:r>
        <w:rPr>
          <w:rFonts w:ascii="Arial" w:hAnsi="Arial" w:cs="Arial"/>
          <w:sz w:val="32"/>
          <w:szCs w:val="32"/>
        </w:rPr>
        <w:t>January 2026</w:t>
      </w:r>
    </w:p>
    <w:p w14:paraId="67614E26" w14:textId="77777777" w:rsidR="009733EB" w:rsidRPr="009733EB" w:rsidRDefault="009733EB" w:rsidP="009733EB">
      <w:pPr>
        <w:spacing w:after="0" w:line="276" w:lineRule="auto"/>
        <w:rPr>
          <w:rFonts w:ascii="Arial" w:hAnsi="Arial" w:cs="Arial"/>
          <w:sz w:val="32"/>
          <w:szCs w:val="32"/>
        </w:rPr>
      </w:pPr>
    </w:p>
    <w:p w14:paraId="1256DBA9" w14:textId="77777777" w:rsidR="009733EB" w:rsidRDefault="009733EB" w:rsidP="009733EB">
      <w:pPr>
        <w:spacing w:after="0" w:line="276" w:lineRule="auto"/>
        <w:rPr>
          <w:rFonts w:ascii="Arial" w:hAnsi="Arial" w:cs="Arial"/>
          <w:sz w:val="28"/>
          <w:szCs w:val="28"/>
        </w:rPr>
      </w:pPr>
      <w:r>
        <w:rPr>
          <w:noProof/>
        </w:rPr>
        <w:drawing>
          <wp:inline distT="0" distB="0" distL="0" distR="0" wp14:anchorId="4F11CE91" wp14:editId="33D54D2D">
            <wp:extent cx="5731510" cy="1348105"/>
            <wp:effectExtent l="0" t="0" r="2540" b="4445"/>
            <wp:docPr id="1901687685" name="Picture 1" descr="Logos of the organisations involved: Edinburgh Community Health Forum, Health and Social Care Alliance Scotland (the ALLIANCE), Scottish Community Development Centre, and Voluntary Health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of the organisations involved: Edinburgh Community Health Forum, Health and Social Care Alliance Scotland (the ALLIANCE), Scottish Community Development Centre, and Voluntary Health Scotla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348105"/>
                    </a:xfrm>
                    <a:prstGeom prst="rect">
                      <a:avLst/>
                    </a:prstGeom>
                    <a:noFill/>
                    <a:ln>
                      <a:noFill/>
                    </a:ln>
                  </pic:spPr>
                </pic:pic>
              </a:graphicData>
            </a:graphic>
          </wp:inline>
        </w:drawing>
      </w:r>
    </w:p>
    <w:p w14:paraId="34AB0890" w14:textId="77777777" w:rsidR="00732B0F" w:rsidRDefault="00732B0F" w:rsidP="009733EB">
      <w:pPr>
        <w:spacing w:after="0" w:line="276" w:lineRule="auto"/>
        <w:rPr>
          <w:rFonts w:ascii="Arial" w:hAnsi="Arial" w:cs="Arial"/>
          <w:sz w:val="28"/>
          <w:szCs w:val="28"/>
        </w:rPr>
      </w:pPr>
    </w:p>
    <w:p w14:paraId="56004BFC" w14:textId="77777777" w:rsidR="007A78A0" w:rsidRPr="007A78A0" w:rsidRDefault="007A78A0" w:rsidP="007A78A0">
      <w:pPr>
        <w:spacing w:after="0" w:line="276" w:lineRule="auto"/>
        <w:rPr>
          <w:rFonts w:ascii="Arial" w:hAnsi="Arial" w:cs="Arial"/>
          <w:sz w:val="28"/>
          <w:szCs w:val="28"/>
        </w:rPr>
      </w:pPr>
      <w:r w:rsidRPr="007A78A0">
        <w:rPr>
          <w:rFonts w:ascii="Arial" w:hAnsi="Arial" w:cs="Arial"/>
          <w:b/>
          <w:bCs/>
          <w:sz w:val="28"/>
          <w:szCs w:val="28"/>
        </w:rPr>
        <w:t>Putting the 'hard-to-do' parts of preventative policy into practice</w:t>
      </w:r>
    </w:p>
    <w:p w14:paraId="646FE59A" w14:textId="77777777" w:rsidR="007A78A0" w:rsidRPr="007A78A0" w:rsidRDefault="007A78A0" w:rsidP="007A78A0">
      <w:pPr>
        <w:spacing w:after="0" w:line="276" w:lineRule="auto"/>
        <w:rPr>
          <w:rFonts w:ascii="Arial" w:hAnsi="Arial" w:cs="Arial"/>
          <w:sz w:val="28"/>
          <w:szCs w:val="28"/>
        </w:rPr>
      </w:pPr>
      <w:r w:rsidRPr="007A78A0">
        <w:rPr>
          <w:rFonts w:ascii="Arial" w:hAnsi="Arial" w:cs="Arial"/>
          <w:sz w:val="28"/>
          <w:szCs w:val="28"/>
        </w:rPr>
        <w:t> </w:t>
      </w:r>
    </w:p>
    <w:p w14:paraId="33C823BB" w14:textId="6F58D319" w:rsidR="007A78A0" w:rsidRPr="007A78A0" w:rsidRDefault="007A78A0" w:rsidP="007A78A0">
      <w:pPr>
        <w:spacing w:after="0" w:line="276" w:lineRule="auto"/>
        <w:rPr>
          <w:rFonts w:ascii="Arial" w:hAnsi="Arial" w:cs="Arial"/>
          <w:sz w:val="28"/>
          <w:szCs w:val="28"/>
        </w:rPr>
      </w:pPr>
      <w:r w:rsidRPr="007A78A0">
        <w:rPr>
          <w:rFonts w:ascii="Arial" w:hAnsi="Arial" w:cs="Arial"/>
          <w:sz w:val="28"/>
          <w:szCs w:val="28"/>
        </w:rPr>
        <w:t xml:space="preserve">In September 2025, our organisations </w:t>
      </w:r>
      <w:hyperlink r:id="rId12" w:history="1">
        <w:r w:rsidRPr="007A78A0">
          <w:rPr>
            <w:rStyle w:val="Hyperlink"/>
            <w:rFonts w:ascii="Arial" w:hAnsi="Arial" w:cs="Arial"/>
            <w:sz w:val="28"/>
            <w:szCs w:val="28"/>
          </w:rPr>
          <w:t>came together</w:t>
        </w:r>
      </w:hyperlink>
      <w:r w:rsidRPr="007A78A0">
        <w:rPr>
          <w:rFonts w:ascii="Arial" w:hAnsi="Arial" w:cs="Arial"/>
          <w:sz w:val="28"/>
          <w:szCs w:val="28"/>
        </w:rPr>
        <w:t xml:space="preserve"> to issue a joint statement on the role prevention plays in tackling Scotland’s growing health inequalities crisis.</w:t>
      </w:r>
    </w:p>
    <w:p w14:paraId="200F8E28" w14:textId="77777777" w:rsidR="007A78A0" w:rsidRPr="007A78A0" w:rsidRDefault="007A78A0" w:rsidP="007A78A0">
      <w:pPr>
        <w:spacing w:after="0" w:line="276" w:lineRule="auto"/>
        <w:rPr>
          <w:rFonts w:ascii="Arial" w:hAnsi="Arial" w:cs="Arial"/>
          <w:sz w:val="28"/>
          <w:szCs w:val="28"/>
        </w:rPr>
      </w:pPr>
      <w:r w:rsidRPr="007A78A0">
        <w:rPr>
          <w:rFonts w:ascii="Arial" w:hAnsi="Arial" w:cs="Arial"/>
          <w:b/>
          <w:bCs/>
          <w:sz w:val="28"/>
          <w:szCs w:val="28"/>
        </w:rPr>
        <w:t> </w:t>
      </w:r>
    </w:p>
    <w:p w14:paraId="0FCD6A7A" w14:textId="77777777" w:rsidR="007A78A0" w:rsidRPr="007A78A0" w:rsidRDefault="007A78A0" w:rsidP="007A78A0">
      <w:pPr>
        <w:spacing w:after="0" w:line="276" w:lineRule="auto"/>
        <w:rPr>
          <w:rFonts w:ascii="Arial" w:hAnsi="Arial" w:cs="Arial"/>
          <w:sz w:val="28"/>
          <w:szCs w:val="28"/>
        </w:rPr>
      </w:pPr>
      <w:r w:rsidRPr="007A78A0">
        <w:rPr>
          <w:rFonts w:ascii="Arial" w:hAnsi="Arial" w:cs="Arial"/>
          <w:sz w:val="28"/>
          <w:szCs w:val="28"/>
        </w:rPr>
        <w:t>These preventative approaches mean identifying and tackling root causes before negative outcomes occur. They focus on addressing the underlying causes of the unfair and avoidable differences in how long people live, and live in good health.</w:t>
      </w:r>
    </w:p>
    <w:p w14:paraId="567A8AE8" w14:textId="3DA7684F" w:rsidR="007A78A0" w:rsidRPr="007A78A0" w:rsidRDefault="007A78A0" w:rsidP="007A78A0">
      <w:pPr>
        <w:spacing w:after="0" w:line="276" w:lineRule="auto"/>
        <w:rPr>
          <w:rFonts w:ascii="Arial" w:hAnsi="Arial" w:cs="Arial"/>
          <w:sz w:val="28"/>
          <w:szCs w:val="28"/>
        </w:rPr>
      </w:pPr>
    </w:p>
    <w:p w14:paraId="362FD626" w14:textId="77777777" w:rsidR="007A78A0" w:rsidRPr="007A78A0" w:rsidRDefault="007A78A0" w:rsidP="007A78A0">
      <w:pPr>
        <w:spacing w:after="0" w:line="276" w:lineRule="auto"/>
        <w:rPr>
          <w:rFonts w:ascii="Arial" w:hAnsi="Arial" w:cs="Arial"/>
          <w:sz w:val="28"/>
          <w:szCs w:val="28"/>
        </w:rPr>
      </w:pPr>
      <w:r w:rsidRPr="007A78A0">
        <w:rPr>
          <w:rFonts w:ascii="Arial" w:hAnsi="Arial" w:cs="Arial"/>
          <w:sz w:val="28"/>
          <w:szCs w:val="28"/>
        </w:rPr>
        <w:t>In our statement, we called for a clear definition and understanding of what prevention means, a properly resourced third sector that’s part of a whole systems approach, and an urgency in how we tackle the ‘hard-to-do’ parts of policy implementation.</w:t>
      </w:r>
    </w:p>
    <w:p w14:paraId="643750E9" w14:textId="77777777" w:rsidR="007A78A0" w:rsidRPr="007A78A0" w:rsidRDefault="007A78A0" w:rsidP="007A78A0">
      <w:pPr>
        <w:spacing w:after="0" w:line="276" w:lineRule="auto"/>
        <w:rPr>
          <w:rFonts w:ascii="Arial" w:hAnsi="Arial" w:cs="Arial"/>
          <w:sz w:val="28"/>
          <w:szCs w:val="28"/>
        </w:rPr>
      </w:pPr>
    </w:p>
    <w:p w14:paraId="3927E412" w14:textId="77777777" w:rsidR="007A78A0" w:rsidRPr="007A78A0" w:rsidRDefault="007A78A0" w:rsidP="007A78A0">
      <w:pPr>
        <w:spacing w:after="0" w:line="276" w:lineRule="auto"/>
        <w:rPr>
          <w:rFonts w:ascii="Arial" w:hAnsi="Arial" w:cs="Arial"/>
          <w:sz w:val="28"/>
          <w:szCs w:val="28"/>
        </w:rPr>
      </w:pPr>
      <w:r w:rsidRPr="007A78A0">
        <w:rPr>
          <w:rFonts w:ascii="Arial" w:hAnsi="Arial" w:cs="Arial"/>
          <w:sz w:val="28"/>
          <w:szCs w:val="28"/>
        </w:rPr>
        <w:t>Ahead of the 2026-27 Scottish Budget, we want to restate the necessary steps required to tackle the ‘hard-to-do’ policy ambitions related to prevention. Finding sustainable solutions to the ‘implementation gap’  is essential if we’re to translate policy into action that meaningfully improves people’s lives, and addresses the issues that they face every day. </w:t>
      </w:r>
    </w:p>
    <w:p w14:paraId="4A654FD2" w14:textId="77777777" w:rsidR="007A78A0" w:rsidRPr="007A78A0" w:rsidRDefault="007A78A0" w:rsidP="007A78A0">
      <w:pPr>
        <w:spacing w:after="0" w:line="276" w:lineRule="auto"/>
        <w:rPr>
          <w:rFonts w:ascii="Arial" w:hAnsi="Arial" w:cs="Arial"/>
          <w:sz w:val="28"/>
          <w:szCs w:val="28"/>
        </w:rPr>
      </w:pPr>
    </w:p>
    <w:p w14:paraId="2BB3F77E" w14:textId="77777777" w:rsidR="007A78A0" w:rsidRPr="007A78A0" w:rsidRDefault="007A78A0" w:rsidP="007A78A0">
      <w:pPr>
        <w:spacing w:after="0" w:line="276" w:lineRule="auto"/>
        <w:rPr>
          <w:rFonts w:ascii="Arial" w:hAnsi="Arial" w:cs="Arial"/>
          <w:sz w:val="28"/>
          <w:szCs w:val="28"/>
        </w:rPr>
      </w:pPr>
      <w:r w:rsidRPr="007A78A0">
        <w:rPr>
          <w:rFonts w:ascii="Arial" w:hAnsi="Arial" w:cs="Arial"/>
          <w:sz w:val="28"/>
          <w:szCs w:val="28"/>
        </w:rPr>
        <w:t xml:space="preserve">There have been positive signs since we published our joint statement that the Scottish Government and other public sector partners are serious about creating a prevention-centred system. We have all been at various meetings in recent months with partners exploring a range of </w:t>
      </w:r>
      <w:r w:rsidRPr="007A78A0">
        <w:rPr>
          <w:rFonts w:ascii="Arial" w:hAnsi="Arial" w:cs="Arial"/>
          <w:sz w:val="28"/>
          <w:szCs w:val="28"/>
        </w:rPr>
        <w:lastRenderedPageBreak/>
        <w:t>solutions, including preventative budgeting and greater power-sharing with communities experiencing the impact of health inequalities and the third sector.  </w:t>
      </w:r>
    </w:p>
    <w:p w14:paraId="322A6C33" w14:textId="77777777" w:rsidR="007A78A0" w:rsidRPr="007A78A0" w:rsidRDefault="007A78A0" w:rsidP="007A78A0">
      <w:pPr>
        <w:spacing w:after="0" w:line="276" w:lineRule="auto"/>
        <w:rPr>
          <w:rFonts w:ascii="Arial" w:hAnsi="Arial" w:cs="Arial"/>
          <w:sz w:val="28"/>
          <w:szCs w:val="28"/>
        </w:rPr>
      </w:pPr>
    </w:p>
    <w:p w14:paraId="2085A8AF" w14:textId="77777777" w:rsidR="007A78A0" w:rsidRPr="007A78A0" w:rsidRDefault="007A78A0" w:rsidP="007A78A0">
      <w:pPr>
        <w:spacing w:after="0" w:line="276" w:lineRule="auto"/>
        <w:rPr>
          <w:rFonts w:ascii="Arial" w:hAnsi="Arial" w:cs="Arial"/>
          <w:sz w:val="28"/>
          <w:szCs w:val="28"/>
        </w:rPr>
      </w:pPr>
      <w:r w:rsidRPr="007A78A0">
        <w:rPr>
          <w:rFonts w:ascii="Arial" w:hAnsi="Arial" w:cs="Arial"/>
          <w:sz w:val="28"/>
          <w:szCs w:val="28"/>
        </w:rPr>
        <w:t>However, there is little doubt that the current fiscal environment puts cross-sector ambitions around prevention in and with communities at risk.</w:t>
      </w:r>
    </w:p>
    <w:p w14:paraId="42A51857" w14:textId="77777777" w:rsidR="007A78A0" w:rsidRPr="007A78A0" w:rsidRDefault="007A78A0" w:rsidP="007A78A0">
      <w:pPr>
        <w:spacing w:after="0" w:line="276" w:lineRule="auto"/>
        <w:rPr>
          <w:rFonts w:ascii="Arial" w:hAnsi="Arial" w:cs="Arial"/>
          <w:sz w:val="28"/>
          <w:szCs w:val="28"/>
        </w:rPr>
      </w:pPr>
    </w:p>
    <w:p w14:paraId="52A3A87B" w14:textId="77777777" w:rsidR="007A78A0" w:rsidRPr="007A78A0" w:rsidRDefault="007A78A0" w:rsidP="007A78A0">
      <w:pPr>
        <w:spacing w:after="0" w:line="276" w:lineRule="auto"/>
        <w:rPr>
          <w:rFonts w:ascii="Arial" w:hAnsi="Arial" w:cs="Arial"/>
          <w:sz w:val="28"/>
          <w:szCs w:val="28"/>
        </w:rPr>
      </w:pPr>
      <w:r w:rsidRPr="007A78A0">
        <w:rPr>
          <w:rFonts w:ascii="Arial" w:hAnsi="Arial" w:cs="Arial"/>
          <w:sz w:val="28"/>
          <w:szCs w:val="28"/>
        </w:rPr>
        <w:t>Systems change takes time; but this is something many of our collective members and stakeholders are running out of. Without immediate action to sustainably invest in preventative solutions, we risk losing many of the groups, organisations and practitioners skilled and experienced in long term, preventative work.</w:t>
      </w:r>
    </w:p>
    <w:p w14:paraId="6B835F95" w14:textId="77777777" w:rsidR="007A78A0" w:rsidRPr="007A78A0" w:rsidRDefault="007A78A0" w:rsidP="007A78A0">
      <w:pPr>
        <w:spacing w:after="0" w:line="276" w:lineRule="auto"/>
        <w:rPr>
          <w:rFonts w:ascii="Arial" w:hAnsi="Arial" w:cs="Arial"/>
          <w:sz w:val="28"/>
          <w:szCs w:val="28"/>
        </w:rPr>
      </w:pPr>
      <w:r w:rsidRPr="007A78A0">
        <w:rPr>
          <w:rFonts w:ascii="Arial" w:hAnsi="Arial" w:cs="Arial"/>
          <w:sz w:val="28"/>
          <w:szCs w:val="28"/>
        </w:rPr>
        <w:t> </w:t>
      </w:r>
    </w:p>
    <w:p w14:paraId="29F6BC5C" w14:textId="77777777" w:rsidR="007A78A0" w:rsidRPr="007A78A0" w:rsidRDefault="007A78A0" w:rsidP="007A78A0">
      <w:pPr>
        <w:spacing w:after="0" w:line="276" w:lineRule="auto"/>
        <w:rPr>
          <w:rFonts w:ascii="Arial" w:hAnsi="Arial" w:cs="Arial"/>
          <w:sz w:val="28"/>
          <w:szCs w:val="28"/>
        </w:rPr>
      </w:pPr>
      <w:r w:rsidRPr="007A78A0">
        <w:rPr>
          <w:rFonts w:ascii="Arial" w:hAnsi="Arial" w:cs="Arial"/>
          <w:b/>
          <w:bCs/>
          <w:sz w:val="28"/>
          <w:szCs w:val="28"/>
        </w:rPr>
        <w:t>So, what needs to be done?</w:t>
      </w:r>
    </w:p>
    <w:p w14:paraId="79A4D82E" w14:textId="77777777" w:rsidR="007A78A0" w:rsidRPr="007A78A0" w:rsidRDefault="007A78A0" w:rsidP="007A78A0">
      <w:pPr>
        <w:spacing w:after="0" w:line="276" w:lineRule="auto"/>
        <w:rPr>
          <w:rFonts w:ascii="Arial" w:hAnsi="Arial" w:cs="Arial"/>
          <w:sz w:val="28"/>
          <w:szCs w:val="28"/>
        </w:rPr>
      </w:pPr>
      <w:r w:rsidRPr="007A78A0">
        <w:rPr>
          <w:rFonts w:ascii="Arial" w:hAnsi="Arial" w:cs="Arial"/>
          <w:sz w:val="28"/>
          <w:szCs w:val="28"/>
        </w:rPr>
        <w:t> </w:t>
      </w:r>
    </w:p>
    <w:p w14:paraId="440656D8" w14:textId="77777777" w:rsidR="007A78A0" w:rsidRPr="007A78A0" w:rsidRDefault="007A78A0" w:rsidP="007A78A0">
      <w:pPr>
        <w:spacing w:after="0" w:line="276" w:lineRule="auto"/>
        <w:rPr>
          <w:rFonts w:ascii="Arial" w:hAnsi="Arial" w:cs="Arial"/>
          <w:sz w:val="28"/>
          <w:szCs w:val="28"/>
        </w:rPr>
      </w:pPr>
      <w:r w:rsidRPr="007A78A0">
        <w:rPr>
          <w:rFonts w:ascii="Arial" w:hAnsi="Arial" w:cs="Arial"/>
          <w:sz w:val="28"/>
          <w:szCs w:val="28"/>
        </w:rPr>
        <w:t>While none of these problems are easy, there are clear paths towards achieving this much needed change. In our joint statement, we set out some of these steps: </w:t>
      </w:r>
    </w:p>
    <w:p w14:paraId="423E794E" w14:textId="77777777" w:rsidR="007A78A0" w:rsidRPr="007A78A0" w:rsidRDefault="007A78A0" w:rsidP="007A78A0">
      <w:pPr>
        <w:spacing w:after="0" w:line="276" w:lineRule="auto"/>
        <w:rPr>
          <w:rFonts w:ascii="Arial" w:hAnsi="Arial" w:cs="Arial"/>
          <w:sz w:val="28"/>
          <w:szCs w:val="28"/>
        </w:rPr>
      </w:pPr>
      <w:r w:rsidRPr="007A78A0">
        <w:rPr>
          <w:rFonts w:ascii="Arial" w:hAnsi="Arial" w:cs="Arial"/>
          <w:sz w:val="28"/>
          <w:szCs w:val="28"/>
        </w:rPr>
        <w:t> </w:t>
      </w:r>
    </w:p>
    <w:p w14:paraId="71C08132" w14:textId="6DCC3EC0" w:rsidR="007A78A0" w:rsidRPr="00BF5253" w:rsidRDefault="007A78A0" w:rsidP="00BF5253">
      <w:pPr>
        <w:pStyle w:val="ListParagraph"/>
        <w:numPr>
          <w:ilvl w:val="0"/>
          <w:numId w:val="3"/>
        </w:numPr>
        <w:spacing w:after="0" w:line="276" w:lineRule="auto"/>
        <w:rPr>
          <w:rFonts w:ascii="Arial" w:hAnsi="Arial" w:cs="Arial"/>
          <w:sz w:val="28"/>
          <w:szCs w:val="28"/>
        </w:rPr>
      </w:pPr>
      <w:r w:rsidRPr="00BF5253">
        <w:rPr>
          <w:rFonts w:ascii="Arial" w:hAnsi="Arial" w:cs="Arial"/>
          <w:sz w:val="28"/>
          <w:szCs w:val="28"/>
        </w:rPr>
        <w:t xml:space="preserve">Co-production and power-sharing with people, communities and the third </w:t>
      </w:r>
      <w:proofErr w:type="gramStart"/>
      <w:r w:rsidRPr="00BF5253">
        <w:rPr>
          <w:rFonts w:ascii="Arial" w:hAnsi="Arial" w:cs="Arial"/>
          <w:sz w:val="28"/>
          <w:szCs w:val="28"/>
        </w:rPr>
        <w:t>sector;</w:t>
      </w:r>
      <w:proofErr w:type="gramEnd"/>
    </w:p>
    <w:p w14:paraId="01294F88" w14:textId="5AE24D7C" w:rsidR="007A78A0" w:rsidRPr="00BF5253" w:rsidRDefault="007A78A0" w:rsidP="00BF5253">
      <w:pPr>
        <w:pStyle w:val="ListParagraph"/>
        <w:numPr>
          <w:ilvl w:val="0"/>
          <w:numId w:val="3"/>
        </w:numPr>
        <w:spacing w:after="0" w:line="276" w:lineRule="auto"/>
        <w:rPr>
          <w:rFonts w:ascii="Arial" w:hAnsi="Arial" w:cs="Arial"/>
          <w:sz w:val="28"/>
          <w:szCs w:val="28"/>
        </w:rPr>
      </w:pPr>
      <w:r w:rsidRPr="00BF5253">
        <w:rPr>
          <w:rFonts w:ascii="Arial" w:hAnsi="Arial" w:cs="Arial"/>
          <w:sz w:val="28"/>
          <w:szCs w:val="28"/>
        </w:rPr>
        <w:t xml:space="preserve">Long-term investment and </w:t>
      </w:r>
      <w:proofErr w:type="gramStart"/>
      <w:r w:rsidRPr="00BF5253">
        <w:rPr>
          <w:rFonts w:ascii="Arial" w:hAnsi="Arial" w:cs="Arial"/>
          <w:sz w:val="28"/>
          <w:szCs w:val="28"/>
        </w:rPr>
        <w:t>work;</w:t>
      </w:r>
      <w:proofErr w:type="gramEnd"/>
    </w:p>
    <w:p w14:paraId="28DCCB55" w14:textId="6B9AF31B" w:rsidR="007A78A0" w:rsidRPr="00BF5253" w:rsidRDefault="007A78A0" w:rsidP="00BF5253">
      <w:pPr>
        <w:pStyle w:val="ListParagraph"/>
        <w:numPr>
          <w:ilvl w:val="0"/>
          <w:numId w:val="3"/>
        </w:numPr>
        <w:spacing w:after="0" w:line="276" w:lineRule="auto"/>
        <w:rPr>
          <w:rFonts w:ascii="Arial" w:hAnsi="Arial" w:cs="Arial"/>
          <w:sz w:val="28"/>
          <w:szCs w:val="28"/>
        </w:rPr>
      </w:pPr>
      <w:r w:rsidRPr="00BF5253">
        <w:rPr>
          <w:rFonts w:ascii="Arial" w:hAnsi="Arial" w:cs="Arial"/>
          <w:sz w:val="28"/>
          <w:szCs w:val="28"/>
        </w:rPr>
        <w:t xml:space="preserve">Transparency and </w:t>
      </w:r>
      <w:proofErr w:type="gramStart"/>
      <w:r w:rsidRPr="00BF5253">
        <w:rPr>
          <w:rFonts w:ascii="Arial" w:hAnsi="Arial" w:cs="Arial"/>
          <w:sz w:val="28"/>
          <w:szCs w:val="28"/>
        </w:rPr>
        <w:t>accountability;</w:t>
      </w:r>
      <w:proofErr w:type="gramEnd"/>
    </w:p>
    <w:p w14:paraId="397134D4" w14:textId="2EA92723" w:rsidR="007A78A0" w:rsidRPr="00BF5253" w:rsidRDefault="007A78A0" w:rsidP="00BF5253">
      <w:pPr>
        <w:pStyle w:val="ListParagraph"/>
        <w:numPr>
          <w:ilvl w:val="0"/>
          <w:numId w:val="3"/>
        </w:numPr>
        <w:spacing w:after="0" w:line="276" w:lineRule="auto"/>
        <w:rPr>
          <w:rFonts w:ascii="Arial" w:hAnsi="Arial" w:cs="Arial"/>
          <w:sz w:val="28"/>
          <w:szCs w:val="28"/>
        </w:rPr>
      </w:pPr>
      <w:r w:rsidRPr="00BF5253">
        <w:rPr>
          <w:rFonts w:ascii="Arial" w:hAnsi="Arial" w:cs="Arial"/>
          <w:sz w:val="28"/>
          <w:szCs w:val="28"/>
        </w:rPr>
        <w:t xml:space="preserve">Courageous </w:t>
      </w:r>
      <w:proofErr w:type="gramStart"/>
      <w:r w:rsidRPr="00BF5253">
        <w:rPr>
          <w:rFonts w:ascii="Arial" w:hAnsi="Arial" w:cs="Arial"/>
          <w:sz w:val="28"/>
          <w:szCs w:val="28"/>
        </w:rPr>
        <w:t>leadership;</w:t>
      </w:r>
      <w:proofErr w:type="gramEnd"/>
    </w:p>
    <w:p w14:paraId="470469CB" w14:textId="6EF51574" w:rsidR="007A78A0" w:rsidRPr="00BF5253" w:rsidRDefault="007A78A0" w:rsidP="00BF5253">
      <w:pPr>
        <w:pStyle w:val="ListParagraph"/>
        <w:numPr>
          <w:ilvl w:val="0"/>
          <w:numId w:val="3"/>
        </w:numPr>
        <w:spacing w:after="0" w:line="276" w:lineRule="auto"/>
        <w:rPr>
          <w:rFonts w:ascii="Arial" w:hAnsi="Arial" w:cs="Arial"/>
          <w:sz w:val="28"/>
          <w:szCs w:val="28"/>
        </w:rPr>
      </w:pPr>
      <w:r w:rsidRPr="00BF5253">
        <w:rPr>
          <w:rFonts w:ascii="Arial" w:hAnsi="Arial" w:cs="Arial"/>
          <w:sz w:val="28"/>
          <w:szCs w:val="28"/>
        </w:rPr>
        <w:t>Evidence-gathering; and</w:t>
      </w:r>
    </w:p>
    <w:p w14:paraId="0F5B5888" w14:textId="441A0959" w:rsidR="007A78A0" w:rsidRPr="00BF5253" w:rsidRDefault="007A78A0" w:rsidP="00BF5253">
      <w:pPr>
        <w:pStyle w:val="ListParagraph"/>
        <w:numPr>
          <w:ilvl w:val="0"/>
          <w:numId w:val="3"/>
        </w:numPr>
        <w:spacing w:after="0" w:line="276" w:lineRule="auto"/>
        <w:rPr>
          <w:rFonts w:ascii="Arial" w:hAnsi="Arial" w:cs="Arial"/>
          <w:sz w:val="28"/>
          <w:szCs w:val="28"/>
        </w:rPr>
      </w:pPr>
      <w:r w:rsidRPr="00BF5253">
        <w:rPr>
          <w:rFonts w:ascii="Arial" w:hAnsi="Arial" w:cs="Arial"/>
          <w:sz w:val="28"/>
          <w:szCs w:val="28"/>
        </w:rPr>
        <w:t>Working across siloes and sectors (including fiscal)</w:t>
      </w:r>
    </w:p>
    <w:p w14:paraId="3E600D55" w14:textId="77777777" w:rsidR="007A78A0" w:rsidRPr="007A78A0" w:rsidRDefault="007A78A0" w:rsidP="007A78A0">
      <w:pPr>
        <w:spacing w:after="0" w:line="276" w:lineRule="auto"/>
        <w:rPr>
          <w:rFonts w:ascii="Arial" w:hAnsi="Arial" w:cs="Arial"/>
          <w:sz w:val="28"/>
          <w:szCs w:val="28"/>
        </w:rPr>
      </w:pPr>
      <w:r w:rsidRPr="007A78A0">
        <w:rPr>
          <w:rFonts w:ascii="Arial" w:hAnsi="Arial" w:cs="Arial"/>
          <w:sz w:val="28"/>
          <w:szCs w:val="28"/>
        </w:rPr>
        <w:t> </w:t>
      </w:r>
    </w:p>
    <w:p w14:paraId="05EC4B00" w14:textId="77777777" w:rsidR="007A78A0" w:rsidRPr="007A78A0" w:rsidRDefault="007A78A0" w:rsidP="007A78A0">
      <w:pPr>
        <w:spacing w:after="0" w:line="276" w:lineRule="auto"/>
        <w:rPr>
          <w:rFonts w:ascii="Arial" w:hAnsi="Arial" w:cs="Arial"/>
          <w:sz w:val="28"/>
          <w:szCs w:val="28"/>
        </w:rPr>
      </w:pPr>
      <w:r w:rsidRPr="007A78A0">
        <w:rPr>
          <w:rFonts w:ascii="Arial" w:hAnsi="Arial" w:cs="Arial"/>
          <w:sz w:val="28"/>
          <w:szCs w:val="28"/>
        </w:rPr>
        <w:t>We therefore encourage the Scottish Government, and specifically the Cabinet Secretary for Finance and Local Government, to demonstrate courageous leadership in the Scottish Budget. Financial decision-making and reporting which prioritises and transparently allocates and tracks spend on prevention is vital. It is also crucial to ensure that financial decision-making power is meaningfully shared with community and third sector organisations as equal partners in the shift to prevention.</w:t>
      </w:r>
    </w:p>
    <w:p w14:paraId="5505FFAA" w14:textId="77777777" w:rsidR="007A78A0" w:rsidRPr="007A78A0" w:rsidRDefault="007A78A0" w:rsidP="007A78A0">
      <w:pPr>
        <w:spacing w:after="0" w:line="276" w:lineRule="auto"/>
        <w:rPr>
          <w:rFonts w:ascii="Arial" w:hAnsi="Arial" w:cs="Arial"/>
          <w:sz w:val="28"/>
          <w:szCs w:val="28"/>
        </w:rPr>
      </w:pPr>
    </w:p>
    <w:p w14:paraId="622DED3B" w14:textId="77777777" w:rsidR="007A78A0" w:rsidRPr="007A78A0" w:rsidRDefault="007A78A0" w:rsidP="007A78A0">
      <w:pPr>
        <w:spacing w:after="0" w:line="276" w:lineRule="auto"/>
        <w:rPr>
          <w:rFonts w:ascii="Arial" w:hAnsi="Arial" w:cs="Arial"/>
          <w:sz w:val="28"/>
          <w:szCs w:val="28"/>
        </w:rPr>
      </w:pPr>
      <w:r w:rsidRPr="007A78A0">
        <w:rPr>
          <w:rFonts w:ascii="Arial" w:hAnsi="Arial" w:cs="Arial"/>
          <w:sz w:val="28"/>
          <w:szCs w:val="28"/>
        </w:rPr>
        <w:lastRenderedPageBreak/>
        <w:t>Through collaboration and with a shared vision, solving this implementation gap is possible.</w:t>
      </w:r>
    </w:p>
    <w:p w14:paraId="16F2CD6C" w14:textId="77777777" w:rsidR="007A78A0" w:rsidRPr="007A78A0" w:rsidRDefault="007A78A0" w:rsidP="007A78A0">
      <w:pPr>
        <w:spacing w:after="0" w:line="276" w:lineRule="auto"/>
        <w:rPr>
          <w:rFonts w:ascii="Arial" w:hAnsi="Arial" w:cs="Arial"/>
          <w:sz w:val="28"/>
          <w:szCs w:val="28"/>
        </w:rPr>
      </w:pPr>
      <w:r w:rsidRPr="007A78A0">
        <w:rPr>
          <w:rFonts w:ascii="Arial" w:hAnsi="Arial" w:cs="Arial"/>
          <w:sz w:val="28"/>
          <w:szCs w:val="28"/>
        </w:rPr>
        <w:t> </w:t>
      </w:r>
    </w:p>
    <w:p w14:paraId="7BBF6BAB" w14:textId="77777777" w:rsidR="007A78A0" w:rsidRPr="007A78A0" w:rsidRDefault="007A78A0" w:rsidP="007A78A0">
      <w:pPr>
        <w:spacing w:after="0" w:line="276" w:lineRule="auto"/>
        <w:rPr>
          <w:rFonts w:ascii="Arial" w:hAnsi="Arial" w:cs="Arial"/>
          <w:sz w:val="28"/>
          <w:szCs w:val="28"/>
        </w:rPr>
      </w:pPr>
      <w:r w:rsidRPr="007A78A0">
        <w:rPr>
          <w:rFonts w:ascii="Arial" w:hAnsi="Arial" w:cs="Arial"/>
          <w:sz w:val="28"/>
          <w:szCs w:val="28"/>
        </w:rPr>
        <w:t>However, the pace of the change required is also clear. The real-world impacts of Scotland’s health inequalities crisis are apparent across our communities.</w:t>
      </w:r>
    </w:p>
    <w:p w14:paraId="79926B3D" w14:textId="77777777" w:rsidR="007A78A0" w:rsidRPr="007A78A0" w:rsidRDefault="007A78A0" w:rsidP="007A78A0">
      <w:pPr>
        <w:spacing w:after="0" w:line="276" w:lineRule="auto"/>
        <w:rPr>
          <w:rFonts w:ascii="Arial" w:hAnsi="Arial" w:cs="Arial"/>
          <w:sz w:val="28"/>
          <w:szCs w:val="28"/>
        </w:rPr>
      </w:pPr>
      <w:r w:rsidRPr="007A78A0">
        <w:rPr>
          <w:rFonts w:ascii="Arial" w:hAnsi="Arial" w:cs="Arial"/>
          <w:sz w:val="28"/>
          <w:szCs w:val="28"/>
        </w:rPr>
        <w:t> </w:t>
      </w:r>
    </w:p>
    <w:p w14:paraId="01290790" w14:textId="77777777" w:rsidR="007A78A0" w:rsidRPr="007A78A0" w:rsidRDefault="007A78A0" w:rsidP="007A78A0">
      <w:pPr>
        <w:spacing w:after="0" w:line="276" w:lineRule="auto"/>
        <w:rPr>
          <w:rFonts w:ascii="Arial" w:hAnsi="Arial" w:cs="Arial"/>
          <w:sz w:val="28"/>
          <w:szCs w:val="28"/>
        </w:rPr>
      </w:pPr>
      <w:r w:rsidRPr="007A78A0">
        <w:rPr>
          <w:rFonts w:ascii="Arial" w:hAnsi="Arial" w:cs="Arial"/>
          <w:sz w:val="28"/>
          <w:szCs w:val="28"/>
        </w:rPr>
        <w:t>To rise to this challenge, we need to move urgently and consistently - together - so that prevention becomes not just a policy ambition, but a policy success.</w:t>
      </w:r>
    </w:p>
    <w:p w14:paraId="68505765" w14:textId="77777777" w:rsidR="009733EB" w:rsidRPr="009E57CE" w:rsidRDefault="009733EB" w:rsidP="009733EB">
      <w:pPr>
        <w:spacing w:after="0" w:line="276" w:lineRule="auto"/>
        <w:rPr>
          <w:rFonts w:ascii="Arial" w:hAnsi="Arial" w:cs="Arial"/>
          <w:sz w:val="28"/>
          <w:szCs w:val="28"/>
        </w:rPr>
      </w:pPr>
    </w:p>
    <w:p w14:paraId="0127CA43" w14:textId="65C0FA06" w:rsidR="00E90BE6" w:rsidRDefault="007A78A0" w:rsidP="009733EB">
      <w:pPr>
        <w:spacing w:after="0" w:line="276" w:lineRule="auto"/>
        <w:rPr>
          <w:rFonts w:ascii="Arial" w:hAnsi="Arial" w:cs="Arial"/>
          <w:sz w:val="28"/>
          <w:szCs w:val="28"/>
        </w:rPr>
      </w:pPr>
      <w:r>
        <w:rPr>
          <w:rFonts w:ascii="Arial" w:hAnsi="Arial" w:cs="Arial"/>
          <w:sz w:val="28"/>
          <w:szCs w:val="28"/>
        </w:rPr>
        <w:t>Follow-up j</w:t>
      </w:r>
      <w:r w:rsidR="00E90BE6" w:rsidRPr="009E57CE">
        <w:rPr>
          <w:rFonts w:ascii="Arial" w:hAnsi="Arial" w:cs="Arial"/>
          <w:sz w:val="28"/>
          <w:szCs w:val="28"/>
        </w:rPr>
        <w:t>oint statement by: </w:t>
      </w:r>
    </w:p>
    <w:p w14:paraId="3F44A893" w14:textId="77777777" w:rsidR="009733EB" w:rsidRPr="009E57CE" w:rsidRDefault="009733EB" w:rsidP="009733EB">
      <w:pPr>
        <w:spacing w:after="0" w:line="276" w:lineRule="auto"/>
        <w:rPr>
          <w:rFonts w:ascii="Arial" w:hAnsi="Arial" w:cs="Arial"/>
          <w:sz w:val="28"/>
          <w:szCs w:val="28"/>
        </w:rPr>
      </w:pPr>
    </w:p>
    <w:p w14:paraId="6E87285B" w14:textId="77777777" w:rsidR="00E90BE6" w:rsidRPr="009733EB" w:rsidRDefault="00E90BE6" w:rsidP="009733EB">
      <w:pPr>
        <w:spacing w:after="0" w:line="276" w:lineRule="auto"/>
        <w:rPr>
          <w:rFonts w:ascii="Arial" w:hAnsi="Arial" w:cs="Arial"/>
          <w:sz w:val="28"/>
          <w:szCs w:val="28"/>
        </w:rPr>
      </w:pPr>
      <w:r w:rsidRPr="009733EB">
        <w:rPr>
          <w:rFonts w:ascii="Arial" w:hAnsi="Arial" w:cs="Arial"/>
          <w:sz w:val="28"/>
          <w:szCs w:val="28"/>
        </w:rPr>
        <w:t>Edinburgh Community Health Forum </w:t>
      </w:r>
    </w:p>
    <w:p w14:paraId="522417DB" w14:textId="77777777" w:rsidR="00E90BE6" w:rsidRPr="009733EB" w:rsidRDefault="00E90BE6" w:rsidP="009733EB">
      <w:pPr>
        <w:spacing w:after="0" w:line="276" w:lineRule="auto"/>
        <w:rPr>
          <w:rFonts w:ascii="Arial" w:hAnsi="Arial" w:cs="Arial"/>
          <w:sz w:val="28"/>
          <w:szCs w:val="28"/>
        </w:rPr>
      </w:pPr>
      <w:r w:rsidRPr="009733EB">
        <w:rPr>
          <w:rFonts w:ascii="Arial" w:hAnsi="Arial" w:cs="Arial"/>
          <w:sz w:val="28"/>
          <w:szCs w:val="28"/>
        </w:rPr>
        <w:t>Health and Social Care Alliance Scotland (the ALLIANCE) </w:t>
      </w:r>
    </w:p>
    <w:p w14:paraId="4DB4080C" w14:textId="77777777" w:rsidR="00E90BE6" w:rsidRPr="009733EB" w:rsidRDefault="00E90BE6" w:rsidP="009733EB">
      <w:pPr>
        <w:spacing w:after="0" w:line="276" w:lineRule="auto"/>
        <w:rPr>
          <w:rFonts w:ascii="Arial" w:hAnsi="Arial" w:cs="Arial"/>
          <w:sz w:val="28"/>
          <w:szCs w:val="28"/>
        </w:rPr>
      </w:pPr>
      <w:r w:rsidRPr="009733EB">
        <w:rPr>
          <w:rFonts w:ascii="Arial" w:hAnsi="Arial" w:cs="Arial"/>
          <w:sz w:val="28"/>
          <w:szCs w:val="28"/>
        </w:rPr>
        <w:t>Scottish Community Development Centre: Community Health Exchange </w:t>
      </w:r>
    </w:p>
    <w:p w14:paraId="0EA585E2" w14:textId="77777777" w:rsidR="00E90BE6" w:rsidRPr="009733EB" w:rsidRDefault="00E90BE6" w:rsidP="009733EB">
      <w:pPr>
        <w:spacing w:after="0" w:line="276" w:lineRule="auto"/>
        <w:rPr>
          <w:rFonts w:ascii="Arial" w:hAnsi="Arial" w:cs="Arial"/>
          <w:sz w:val="28"/>
          <w:szCs w:val="28"/>
        </w:rPr>
      </w:pPr>
      <w:r w:rsidRPr="009733EB">
        <w:rPr>
          <w:rFonts w:ascii="Arial" w:hAnsi="Arial" w:cs="Arial"/>
          <w:sz w:val="28"/>
          <w:szCs w:val="28"/>
        </w:rPr>
        <w:t>Voluntary Health Scotland </w:t>
      </w:r>
    </w:p>
    <w:p w14:paraId="54261216" w14:textId="0D5DC665" w:rsidR="009733EB" w:rsidRDefault="009733EB" w:rsidP="007A78A0">
      <w:pPr>
        <w:rPr>
          <w:rFonts w:ascii="Arial" w:hAnsi="Arial" w:cs="Arial"/>
          <w:sz w:val="28"/>
          <w:szCs w:val="28"/>
        </w:rPr>
      </w:pPr>
    </w:p>
    <w:p w14:paraId="18B059D3" w14:textId="36AE7E0F" w:rsidR="007A78A0" w:rsidRPr="009733EB" w:rsidRDefault="007A78A0" w:rsidP="007A78A0">
      <w:pPr>
        <w:rPr>
          <w:rFonts w:ascii="Arial" w:hAnsi="Arial" w:cs="Arial"/>
          <w:b/>
          <w:bCs/>
          <w:sz w:val="28"/>
          <w:szCs w:val="28"/>
        </w:rPr>
      </w:pPr>
      <w:r>
        <w:rPr>
          <w:rFonts w:ascii="Arial" w:hAnsi="Arial" w:cs="Arial"/>
          <w:sz w:val="28"/>
          <w:szCs w:val="28"/>
        </w:rPr>
        <w:t xml:space="preserve">End of document. </w:t>
      </w:r>
    </w:p>
    <w:sectPr w:rsidR="007A78A0" w:rsidRPr="009733EB" w:rsidSect="00732B0F">
      <w:footerReference w:type="default" r:id="rId13"/>
      <w:endnotePr>
        <w:numFmt w:val="decimal"/>
      </w:endnotePr>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88010" w14:textId="77777777" w:rsidR="00B51C36" w:rsidRDefault="00B51C36">
      <w:pPr>
        <w:spacing w:after="0" w:line="240" w:lineRule="auto"/>
      </w:pPr>
      <w:r>
        <w:separator/>
      </w:r>
    </w:p>
  </w:endnote>
  <w:endnote w:type="continuationSeparator" w:id="0">
    <w:p w14:paraId="57E42477" w14:textId="77777777" w:rsidR="00B51C36" w:rsidRDefault="00B51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632433025"/>
      <w:docPartObj>
        <w:docPartGallery w:val="Page Numbers (Bottom of Page)"/>
        <w:docPartUnique/>
      </w:docPartObj>
    </w:sdtPr>
    <w:sdtEndPr>
      <w:rPr>
        <w:noProof/>
      </w:rPr>
    </w:sdtEndPr>
    <w:sdtContent>
      <w:p w14:paraId="668B06CB" w14:textId="05CC937F" w:rsidR="009733EB" w:rsidRPr="009733EB" w:rsidRDefault="009733EB" w:rsidP="009733EB">
        <w:pPr>
          <w:pStyle w:val="Footer"/>
          <w:jc w:val="right"/>
          <w:rPr>
            <w:rFonts w:ascii="Arial" w:hAnsi="Arial" w:cs="Arial"/>
            <w:sz w:val="24"/>
            <w:szCs w:val="24"/>
          </w:rPr>
        </w:pPr>
        <w:r w:rsidRPr="009733EB">
          <w:rPr>
            <w:rFonts w:ascii="Arial" w:hAnsi="Arial" w:cs="Arial"/>
            <w:sz w:val="24"/>
            <w:szCs w:val="24"/>
          </w:rPr>
          <w:fldChar w:fldCharType="begin"/>
        </w:r>
        <w:r w:rsidRPr="009733EB">
          <w:rPr>
            <w:rFonts w:ascii="Arial" w:hAnsi="Arial" w:cs="Arial"/>
            <w:sz w:val="24"/>
            <w:szCs w:val="24"/>
          </w:rPr>
          <w:instrText xml:space="preserve"> PAGE   \* MERGEFORMAT </w:instrText>
        </w:r>
        <w:r w:rsidRPr="009733EB">
          <w:rPr>
            <w:rFonts w:ascii="Arial" w:hAnsi="Arial" w:cs="Arial"/>
            <w:sz w:val="24"/>
            <w:szCs w:val="24"/>
          </w:rPr>
          <w:fldChar w:fldCharType="separate"/>
        </w:r>
        <w:r w:rsidRPr="009733EB">
          <w:rPr>
            <w:rFonts w:ascii="Arial" w:hAnsi="Arial" w:cs="Arial"/>
            <w:noProof/>
            <w:sz w:val="24"/>
            <w:szCs w:val="24"/>
          </w:rPr>
          <w:t>2</w:t>
        </w:r>
        <w:r w:rsidRPr="009733EB">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F8337" w14:textId="77777777" w:rsidR="00B51C36" w:rsidRDefault="00B51C36">
      <w:pPr>
        <w:spacing w:after="0" w:line="240" w:lineRule="auto"/>
      </w:pPr>
      <w:r>
        <w:separator/>
      </w:r>
    </w:p>
  </w:footnote>
  <w:footnote w:type="continuationSeparator" w:id="0">
    <w:p w14:paraId="097B1F68" w14:textId="77777777" w:rsidR="00B51C36" w:rsidRDefault="00B51C36">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4B5E"/>
    <w:multiLevelType w:val="hybridMultilevel"/>
    <w:tmpl w:val="31143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CB55EB"/>
    <w:multiLevelType w:val="hybridMultilevel"/>
    <w:tmpl w:val="9F284F46"/>
    <w:lvl w:ilvl="0" w:tplc="E49CB09A">
      <w:numFmt w:val="bullet"/>
      <w:lvlText w:val="·"/>
      <w:lvlJc w:val="left"/>
      <w:pPr>
        <w:ind w:left="915" w:hanging="55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C75D3E"/>
    <w:multiLevelType w:val="hybridMultilevel"/>
    <w:tmpl w:val="A476B306"/>
    <w:lvl w:ilvl="0" w:tplc="ABD0B4AE">
      <w:start w:val="1"/>
      <w:numFmt w:val="bullet"/>
      <w:lvlText w:val=""/>
      <w:lvlJc w:val="left"/>
      <w:pPr>
        <w:ind w:left="720" w:hanging="360"/>
      </w:pPr>
      <w:rPr>
        <w:rFonts w:ascii="Symbol" w:hAnsi="Symbol" w:hint="default"/>
        <w:b w:val="0"/>
        <w:i w:val="0"/>
        <w:color w:val="auto"/>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1923BA"/>
    <w:multiLevelType w:val="hybridMultilevel"/>
    <w:tmpl w:val="FFFFFFFF"/>
    <w:lvl w:ilvl="0" w:tplc="FC586926">
      <w:start w:val="1"/>
      <w:numFmt w:val="bullet"/>
      <w:lvlText w:val=""/>
      <w:lvlJc w:val="left"/>
      <w:pPr>
        <w:ind w:left="720" w:hanging="360"/>
      </w:pPr>
      <w:rPr>
        <w:rFonts w:ascii="Symbol" w:hAnsi="Symbol" w:hint="default"/>
      </w:rPr>
    </w:lvl>
    <w:lvl w:ilvl="1" w:tplc="7696D0F6">
      <w:start w:val="1"/>
      <w:numFmt w:val="bullet"/>
      <w:lvlText w:val="o"/>
      <w:lvlJc w:val="left"/>
      <w:pPr>
        <w:ind w:left="1440" w:hanging="360"/>
      </w:pPr>
      <w:rPr>
        <w:rFonts w:ascii="Courier New" w:hAnsi="Courier New" w:hint="default"/>
      </w:rPr>
    </w:lvl>
    <w:lvl w:ilvl="2" w:tplc="09985DF4">
      <w:start w:val="1"/>
      <w:numFmt w:val="bullet"/>
      <w:lvlText w:val=""/>
      <w:lvlJc w:val="left"/>
      <w:pPr>
        <w:ind w:left="2160" w:hanging="360"/>
      </w:pPr>
      <w:rPr>
        <w:rFonts w:ascii="Wingdings" w:hAnsi="Wingdings" w:hint="default"/>
      </w:rPr>
    </w:lvl>
    <w:lvl w:ilvl="3" w:tplc="F1F62192">
      <w:start w:val="1"/>
      <w:numFmt w:val="bullet"/>
      <w:lvlText w:val=""/>
      <w:lvlJc w:val="left"/>
      <w:pPr>
        <w:ind w:left="2880" w:hanging="360"/>
      </w:pPr>
      <w:rPr>
        <w:rFonts w:ascii="Symbol" w:hAnsi="Symbol" w:hint="default"/>
      </w:rPr>
    </w:lvl>
    <w:lvl w:ilvl="4" w:tplc="4D541C36">
      <w:start w:val="1"/>
      <w:numFmt w:val="bullet"/>
      <w:lvlText w:val="o"/>
      <w:lvlJc w:val="left"/>
      <w:pPr>
        <w:ind w:left="3600" w:hanging="360"/>
      </w:pPr>
      <w:rPr>
        <w:rFonts w:ascii="Courier New" w:hAnsi="Courier New" w:hint="default"/>
      </w:rPr>
    </w:lvl>
    <w:lvl w:ilvl="5" w:tplc="96CEC4E8">
      <w:start w:val="1"/>
      <w:numFmt w:val="bullet"/>
      <w:lvlText w:val=""/>
      <w:lvlJc w:val="left"/>
      <w:pPr>
        <w:ind w:left="4320" w:hanging="360"/>
      </w:pPr>
      <w:rPr>
        <w:rFonts w:ascii="Wingdings" w:hAnsi="Wingdings" w:hint="default"/>
      </w:rPr>
    </w:lvl>
    <w:lvl w:ilvl="6" w:tplc="9692EF82">
      <w:start w:val="1"/>
      <w:numFmt w:val="bullet"/>
      <w:lvlText w:val=""/>
      <w:lvlJc w:val="left"/>
      <w:pPr>
        <w:ind w:left="5040" w:hanging="360"/>
      </w:pPr>
      <w:rPr>
        <w:rFonts w:ascii="Symbol" w:hAnsi="Symbol" w:hint="default"/>
      </w:rPr>
    </w:lvl>
    <w:lvl w:ilvl="7" w:tplc="E0E0796A">
      <w:start w:val="1"/>
      <w:numFmt w:val="bullet"/>
      <w:lvlText w:val="o"/>
      <w:lvlJc w:val="left"/>
      <w:pPr>
        <w:ind w:left="5760" w:hanging="360"/>
      </w:pPr>
      <w:rPr>
        <w:rFonts w:ascii="Courier New" w:hAnsi="Courier New" w:hint="default"/>
      </w:rPr>
    </w:lvl>
    <w:lvl w:ilvl="8" w:tplc="5112842E">
      <w:start w:val="1"/>
      <w:numFmt w:val="bullet"/>
      <w:lvlText w:val=""/>
      <w:lvlJc w:val="left"/>
      <w:pPr>
        <w:ind w:left="6480" w:hanging="360"/>
      </w:pPr>
      <w:rPr>
        <w:rFonts w:ascii="Wingdings" w:hAnsi="Wingdings" w:hint="default"/>
      </w:rPr>
    </w:lvl>
  </w:abstractNum>
  <w:num w:numId="1" w16cid:durableId="1752463140">
    <w:abstractNumId w:val="3"/>
  </w:num>
  <w:num w:numId="2" w16cid:durableId="1390035823">
    <w:abstractNumId w:val="0"/>
  </w:num>
  <w:num w:numId="3" w16cid:durableId="426732092">
    <w:abstractNumId w:val="2"/>
  </w:num>
  <w:num w:numId="4" w16cid:durableId="1587836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30"/>
    <w:rsid w:val="000C5757"/>
    <w:rsid w:val="001524FC"/>
    <w:rsid w:val="00185175"/>
    <w:rsid w:val="001A3BC8"/>
    <w:rsid w:val="001E353F"/>
    <w:rsid w:val="00311214"/>
    <w:rsid w:val="003A672F"/>
    <w:rsid w:val="003C5244"/>
    <w:rsid w:val="003D6BB4"/>
    <w:rsid w:val="003F15FF"/>
    <w:rsid w:val="003F7826"/>
    <w:rsid w:val="00487A95"/>
    <w:rsid w:val="004C590D"/>
    <w:rsid w:val="004F3AC8"/>
    <w:rsid w:val="00514496"/>
    <w:rsid w:val="0060709C"/>
    <w:rsid w:val="006862CD"/>
    <w:rsid w:val="0070365D"/>
    <w:rsid w:val="00732B0F"/>
    <w:rsid w:val="00775BD6"/>
    <w:rsid w:val="007A562D"/>
    <w:rsid w:val="007A78A0"/>
    <w:rsid w:val="0083341B"/>
    <w:rsid w:val="008B054F"/>
    <w:rsid w:val="009441ED"/>
    <w:rsid w:val="009733EB"/>
    <w:rsid w:val="009E57CE"/>
    <w:rsid w:val="00A2364B"/>
    <w:rsid w:val="00A936AA"/>
    <w:rsid w:val="00AA371B"/>
    <w:rsid w:val="00AB3580"/>
    <w:rsid w:val="00AE7421"/>
    <w:rsid w:val="00B404EC"/>
    <w:rsid w:val="00B51C36"/>
    <w:rsid w:val="00B8141B"/>
    <w:rsid w:val="00BB2060"/>
    <w:rsid w:val="00BB3900"/>
    <w:rsid w:val="00BF5253"/>
    <w:rsid w:val="00C421A9"/>
    <w:rsid w:val="00C70090"/>
    <w:rsid w:val="00C76781"/>
    <w:rsid w:val="00CC09A7"/>
    <w:rsid w:val="00CD54CE"/>
    <w:rsid w:val="00D35AB0"/>
    <w:rsid w:val="00D50156"/>
    <w:rsid w:val="00D87715"/>
    <w:rsid w:val="00DE1F77"/>
    <w:rsid w:val="00DE4BC0"/>
    <w:rsid w:val="00DE7D82"/>
    <w:rsid w:val="00E111D0"/>
    <w:rsid w:val="00E414FD"/>
    <w:rsid w:val="00E8433C"/>
    <w:rsid w:val="00E90BE6"/>
    <w:rsid w:val="00EF7430"/>
    <w:rsid w:val="00F91688"/>
    <w:rsid w:val="00FF5720"/>
    <w:rsid w:val="0AC628C5"/>
    <w:rsid w:val="52F6113D"/>
    <w:rsid w:val="757979A9"/>
    <w:rsid w:val="76BB28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56D68"/>
  <w15:chartTrackingRefBased/>
  <w15:docId w15:val="{E8D4266D-D887-4494-A54F-AE8688E7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4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4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4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4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4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4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4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4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4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4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4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4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4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4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4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4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4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430"/>
    <w:rPr>
      <w:rFonts w:eastAsiaTheme="majorEastAsia" w:cstheme="majorBidi"/>
      <w:color w:val="272727" w:themeColor="text1" w:themeTint="D8"/>
    </w:rPr>
  </w:style>
  <w:style w:type="paragraph" w:styleId="Title">
    <w:name w:val="Title"/>
    <w:basedOn w:val="Normal"/>
    <w:next w:val="Normal"/>
    <w:link w:val="TitleChar"/>
    <w:uiPriority w:val="10"/>
    <w:qFormat/>
    <w:rsid w:val="00EF74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4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4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4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430"/>
    <w:pPr>
      <w:spacing w:before="160"/>
      <w:jc w:val="center"/>
    </w:pPr>
    <w:rPr>
      <w:i/>
      <w:iCs/>
      <w:color w:val="404040" w:themeColor="text1" w:themeTint="BF"/>
    </w:rPr>
  </w:style>
  <w:style w:type="character" w:customStyle="1" w:styleId="QuoteChar">
    <w:name w:val="Quote Char"/>
    <w:basedOn w:val="DefaultParagraphFont"/>
    <w:link w:val="Quote"/>
    <w:uiPriority w:val="29"/>
    <w:rsid w:val="00EF7430"/>
    <w:rPr>
      <w:i/>
      <w:iCs/>
      <w:color w:val="404040" w:themeColor="text1" w:themeTint="BF"/>
    </w:rPr>
  </w:style>
  <w:style w:type="paragraph" w:styleId="ListParagraph">
    <w:name w:val="List Paragraph"/>
    <w:basedOn w:val="Normal"/>
    <w:uiPriority w:val="34"/>
    <w:qFormat/>
    <w:rsid w:val="00EF7430"/>
    <w:pPr>
      <w:ind w:left="720"/>
      <w:contextualSpacing/>
    </w:pPr>
  </w:style>
  <w:style w:type="character" w:styleId="IntenseEmphasis">
    <w:name w:val="Intense Emphasis"/>
    <w:basedOn w:val="DefaultParagraphFont"/>
    <w:uiPriority w:val="21"/>
    <w:qFormat/>
    <w:rsid w:val="00EF7430"/>
    <w:rPr>
      <w:i/>
      <w:iCs/>
      <w:color w:val="0F4761" w:themeColor="accent1" w:themeShade="BF"/>
    </w:rPr>
  </w:style>
  <w:style w:type="paragraph" w:styleId="IntenseQuote">
    <w:name w:val="Intense Quote"/>
    <w:basedOn w:val="Normal"/>
    <w:next w:val="Normal"/>
    <w:link w:val="IntenseQuoteChar"/>
    <w:uiPriority w:val="30"/>
    <w:qFormat/>
    <w:rsid w:val="00EF7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430"/>
    <w:rPr>
      <w:i/>
      <w:iCs/>
      <w:color w:val="0F4761" w:themeColor="accent1" w:themeShade="BF"/>
    </w:rPr>
  </w:style>
  <w:style w:type="character" w:styleId="IntenseReference">
    <w:name w:val="Intense Reference"/>
    <w:basedOn w:val="DefaultParagraphFont"/>
    <w:uiPriority w:val="32"/>
    <w:qFormat/>
    <w:rsid w:val="00EF7430"/>
    <w:rPr>
      <w:b/>
      <w:bCs/>
      <w:smallCaps/>
      <w:color w:val="0F4761" w:themeColor="accent1" w:themeShade="BF"/>
      <w:spacing w:val="5"/>
    </w:rPr>
  </w:style>
  <w:style w:type="character" w:styleId="CommentReference">
    <w:name w:val="annotation reference"/>
    <w:basedOn w:val="DefaultParagraphFont"/>
    <w:uiPriority w:val="99"/>
    <w:semiHidden/>
    <w:unhideWhenUsed/>
    <w:rsid w:val="00EF7430"/>
    <w:rPr>
      <w:sz w:val="16"/>
      <w:szCs w:val="16"/>
    </w:rPr>
  </w:style>
  <w:style w:type="paragraph" w:styleId="CommentText">
    <w:name w:val="annotation text"/>
    <w:basedOn w:val="Normal"/>
    <w:link w:val="CommentTextChar"/>
    <w:uiPriority w:val="99"/>
    <w:unhideWhenUsed/>
    <w:rsid w:val="00EF7430"/>
    <w:pPr>
      <w:spacing w:line="240" w:lineRule="auto"/>
    </w:pPr>
    <w:rPr>
      <w:sz w:val="20"/>
      <w:szCs w:val="20"/>
    </w:rPr>
  </w:style>
  <w:style w:type="character" w:customStyle="1" w:styleId="CommentTextChar">
    <w:name w:val="Comment Text Char"/>
    <w:basedOn w:val="DefaultParagraphFont"/>
    <w:link w:val="CommentText"/>
    <w:uiPriority w:val="99"/>
    <w:rsid w:val="00EF7430"/>
    <w:rPr>
      <w:sz w:val="20"/>
      <w:szCs w:val="20"/>
    </w:rPr>
  </w:style>
  <w:style w:type="paragraph" w:styleId="CommentSubject">
    <w:name w:val="annotation subject"/>
    <w:basedOn w:val="CommentText"/>
    <w:next w:val="CommentText"/>
    <w:link w:val="CommentSubjectChar"/>
    <w:uiPriority w:val="99"/>
    <w:semiHidden/>
    <w:unhideWhenUsed/>
    <w:rsid w:val="00EF7430"/>
    <w:rPr>
      <w:b/>
      <w:bCs/>
    </w:rPr>
  </w:style>
  <w:style w:type="character" w:customStyle="1" w:styleId="CommentSubjectChar">
    <w:name w:val="Comment Subject Char"/>
    <w:basedOn w:val="CommentTextChar"/>
    <w:link w:val="CommentSubject"/>
    <w:uiPriority w:val="99"/>
    <w:semiHidden/>
    <w:rsid w:val="00EF7430"/>
    <w:rPr>
      <w:b/>
      <w:bCs/>
      <w:sz w:val="20"/>
      <w:szCs w:val="20"/>
    </w:rPr>
  </w:style>
  <w:style w:type="paragraph" w:styleId="EndnoteText">
    <w:name w:val="endnote text"/>
    <w:basedOn w:val="Normal"/>
    <w:uiPriority w:val="99"/>
    <w:semiHidden/>
    <w:unhideWhenUsed/>
    <w:rsid w:val="52F6113D"/>
    <w:pPr>
      <w:spacing w:after="0" w:line="240" w:lineRule="auto"/>
    </w:pPr>
    <w:rPr>
      <w:sz w:val="20"/>
      <w:szCs w:val="20"/>
    </w:rPr>
  </w:style>
  <w:style w:type="character" w:styleId="EndnoteReference">
    <w:name w:val="endnote reference"/>
    <w:basedOn w:val="DefaultParagraphFont"/>
    <w:uiPriority w:val="99"/>
    <w:semiHidden/>
    <w:unhideWhenUsed/>
    <w:rsid w:val="52F6113D"/>
    <w:rPr>
      <w:vertAlign w:val="superscript"/>
    </w:rPr>
  </w:style>
  <w:style w:type="character" w:styleId="Hyperlink">
    <w:name w:val="Hyperlink"/>
    <w:basedOn w:val="DefaultParagraphFont"/>
    <w:uiPriority w:val="99"/>
    <w:unhideWhenUsed/>
    <w:rsid w:val="52F6113D"/>
    <w:rPr>
      <w:color w:val="467886"/>
      <w:u w:val="single"/>
    </w:rPr>
  </w:style>
  <w:style w:type="paragraph" w:styleId="Header">
    <w:name w:val="header"/>
    <w:basedOn w:val="Normal"/>
    <w:link w:val="HeaderChar"/>
    <w:uiPriority w:val="99"/>
    <w:unhideWhenUsed/>
    <w:rsid w:val="00607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09C"/>
  </w:style>
  <w:style w:type="paragraph" w:styleId="Footer">
    <w:name w:val="footer"/>
    <w:basedOn w:val="Normal"/>
    <w:link w:val="FooterChar"/>
    <w:uiPriority w:val="99"/>
    <w:unhideWhenUsed/>
    <w:rsid w:val="00607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09C"/>
  </w:style>
  <w:style w:type="paragraph" w:styleId="Revision">
    <w:name w:val="Revision"/>
    <w:hidden/>
    <w:uiPriority w:val="99"/>
    <w:semiHidden/>
    <w:rsid w:val="003D6BB4"/>
    <w:pPr>
      <w:spacing w:after="0" w:line="240" w:lineRule="auto"/>
    </w:pPr>
  </w:style>
  <w:style w:type="character" w:styleId="UnresolvedMention">
    <w:name w:val="Unresolved Mention"/>
    <w:basedOn w:val="DefaultParagraphFont"/>
    <w:uiPriority w:val="99"/>
    <w:semiHidden/>
    <w:unhideWhenUsed/>
    <w:rsid w:val="007A7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liance-scotland.org.uk/blog/news/joint-statement-calls-for-urgent-action-on-prevention/"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20E0918BFB95429B6724FD1EA50C44" ma:contentTypeVersion="18" ma:contentTypeDescription="Create a new document." ma:contentTypeScope="" ma:versionID="be1a70bafe20d7f470cfce9c6e16d3c6">
  <xsd:schema xmlns:xsd="http://www.w3.org/2001/XMLSchema" xmlns:xs="http://www.w3.org/2001/XMLSchema" xmlns:p="http://schemas.microsoft.com/office/2006/metadata/properties" xmlns:ns3="3253bbdf-65a6-4f62-862d-607d8c909e67" xmlns:ns4="198d442b-96a8-402d-bf6b-9963850eca6f" targetNamespace="http://schemas.microsoft.com/office/2006/metadata/properties" ma:root="true" ma:fieldsID="b17006ef9e5c91021acaa1210db100c1" ns3:_="" ns4:_="">
    <xsd:import namespace="3253bbdf-65a6-4f62-862d-607d8c909e67"/>
    <xsd:import namespace="198d442b-96a8-402d-bf6b-9963850eca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3bbdf-65a6-4f62-862d-607d8c909e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8d442b-96a8-402d-bf6b-9963850eca6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98d442b-96a8-402d-bf6b-9963850eca6f" xsi:nil="true"/>
  </documentManagement>
</p:properties>
</file>

<file path=customXml/itemProps1.xml><?xml version="1.0" encoding="utf-8"?>
<ds:datastoreItem xmlns:ds="http://schemas.openxmlformats.org/officeDocument/2006/customXml" ds:itemID="{9E49DC36-4EFE-4110-930C-2FC2D3330821}">
  <ds:schemaRefs>
    <ds:schemaRef ds:uri="http://schemas.openxmlformats.org/officeDocument/2006/bibliography"/>
  </ds:schemaRefs>
</ds:datastoreItem>
</file>

<file path=customXml/itemProps2.xml><?xml version="1.0" encoding="utf-8"?>
<ds:datastoreItem xmlns:ds="http://schemas.openxmlformats.org/officeDocument/2006/customXml" ds:itemID="{95D65807-6E7A-4B77-93CE-E6801CAF0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3bbdf-65a6-4f62-862d-607d8c909e67"/>
    <ds:schemaRef ds:uri="198d442b-96a8-402d-bf6b-9963850ec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FDFA74-6AEA-46CC-B944-04D1FF37A434}">
  <ds:schemaRefs>
    <ds:schemaRef ds:uri="http://schemas.microsoft.com/sharepoint/v3/contenttype/forms"/>
  </ds:schemaRefs>
</ds:datastoreItem>
</file>

<file path=customXml/itemProps4.xml><?xml version="1.0" encoding="utf-8"?>
<ds:datastoreItem xmlns:ds="http://schemas.openxmlformats.org/officeDocument/2006/customXml" ds:itemID="{B3C11F9C-DDBA-4395-BA58-882E0CAE8EF9}">
  <ds:schemaRefs>
    <ds:schemaRef ds:uri="http://schemas.microsoft.com/office/2006/metadata/properties"/>
    <ds:schemaRef ds:uri="http://schemas.microsoft.com/office/infopath/2007/PartnerControls"/>
    <ds:schemaRef ds:uri="198d442b-96a8-402d-bf6b-9963850eca6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Boath</dc:creator>
  <cp:keywords/>
  <dc:description/>
  <cp:lastModifiedBy>Lucy Mulvagh</cp:lastModifiedBy>
  <cp:revision>4</cp:revision>
  <cp:lastPrinted>2025-09-25T09:57:00Z</cp:lastPrinted>
  <dcterms:created xsi:type="dcterms:W3CDTF">2026-01-08T08:54:00Z</dcterms:created>
  <dcterms:modified xsi:type="dcterms:W3CDTF">2026-01-08T08:55:00Z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0x010100AB20E0918BFB95429B6724FD1EA50C44</vt:lpwstr>
  </property>
</Properties>
</file>